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2C16" w14:textId="211222CA" w:rsidR="00012B6F" w:rsidRDefault="00012B6F">
      <w:r>
        <w:t xml:space="preserve">L’Ente non ha adottato </w:t>
      </w:r>
      <w:r w:rsidR="00346340">
        <w:t>alcun regolamento in materia e non ha ricevuto alcun provvedimento da ANAC.</w:t>
      </w:r>
    </w:p>
    <w:p w14:paraId="4FCD5EFF" w14:textId="77777777" w:rsidR="00346340" w:rsidRDefault="00346340"/>
    <w:sectPr w:rsidR="003463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AB"/>
    <w:rsid w:val="00012B6F"/>
    <w:rsid w:val="002F44AB"/>
    <w:rsid w:val="00346340"/>
    <w:rsid w:val="00601F4F"/>
    <w:rsid w:val="00A22F56"/>
    <w:rsid w:val="00F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28AF"/>
  <w15:chartTrackingRefBased/>
  <w15:docId w15:val="{151864C3-27C4-44CE-80A1-A3EDB546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F44A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4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Ufficio Staff</cp:lastModifiedBy>
  <cp:revision>3</cp:revision>
  <dcterms:created xsi:type="dcterms:W3CDTF">2022-10-20T07:04:00Z</dcterms:created>
  <dcterms:modified xsi:type="dcterms:W3CDTF">2022-10-20T07:05:00Z</dcterms:modified>
</cp:coreProperties>
</file>